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20" w:lineRule="exact"/>
        <w:rPr>
          <w:rFonts w:ascii="黑体" w:hAnsi="黑体" w:eastAsia="黑体"/>
          <w:bCs w:val="0"/>
          <w:color w:val="000000"/>
          <w:kern w:val="2"/>
          <w:sz w:val="32"/>
          <w:szCs w:val="32"/>
        </w:rPr>
      </w:pPr>
    </w:p>
    <w:p>
      <w:pPr>
        <w:pStyle w:val="2"/>
        <w:spacing w:before="0" w:beforeAutospacing="0" w:after="0" w:afterAutospacing="0" w:line="620" w:lineRule="exact"/>
        <w:jc w:val="center"/>
        <w:rPr>
          <w:rFonts w:hint="eastAsia" w:ascii="宋体" w:hAnsi="宋体" w:eastAsia="宋体" w:cs="宋体"/>
          <w:bCs w:val="0"/>
          <w:color w:val="000000"/>
          <w:kern w:val="2"/>
          <w:sz w:val="44"/>
          <w:szCs w:val="44"/>
        </w:rPr>
      </w:pPr>
      <w:r>
        <w:rPr>
          <w:rFonts w:hint="eastAsia" w:ascii="宋体" w:hAnsi="宋体" w:eastAsia="宋体" w:cs="宋体"/>
          <w:bCs w:val="0"/>
          <w:color w:val="000000"/>
          <w:kern w:val="2"/>
          <w:sz w:val="44"/>
          <w:szCs w:val="44"/>
        </w:rPr>
        <w:t>产教融合型企业</w:t>
      </w:r>
      <w:r>
        <w:rPr>
          <w:rFonts w:hint="eastAsia" w:ascii="宋体" w:hAnsi="宋体" w:eastAsia="宋体" w:cs="宋体"/>
          <w:color w:val="000000"/>
          <w:sz w:val="44"/>
          <w:szCs w:val="44"/>
          <w:lang w:val="en-US" w:eastAsia="zh-CN"/>
        </w:rPr>
        <w:t>高新兴科技集团股份有限公司、</w:t>
      </w:r>
      <w:r>
        <w:rPr>
          <w:rFonts w:hint="eastAsia" w:ascii="宋体" w:hAnsi="宋体" w:eastAsia="宋体" w:cs="宋体"/>
          <w:color w:val="000000"/>
          <w:sz w:val="44"/>
          <w:szCs w:val="44"/>
        </w:rPr>
        <w:t>广州数控设备有限公司</w:t>
      </w:r>
      <w:r>
        <w:rPr>
          <w:rFonts w:hint="eastAsia" w:ascii="宋体" w:hAnsi="宋体" w:eastAsia="宋体" w:cs="宋体"/>
          <w:bCs w:val="0"/>
          <w:color w:val="000000"/>
          <w:kern w:val="2"/>
          <w:sz w:val="44"/>
          <w:szCs w:val="44"/>
        </w:rPr>
        <w:t>—黄埔职校现代学徒制</w:t>
      </w:r>
    </w:p>
    <w:p>
      <w:pPr>
        <w:pStyle w:val="2"/>
        <w:spacing w:before="0" w:beforeAutospacing="0" w:after="0" w:afterAutospacing="0" w:line="620" w:lineRule="exact"/>
        <w:jc w:val="center"/>
        <w:rPr>
          <w:rFonts w:hint="eastAsia" w:ascii="宋体" w:hAnsi="宋体" w:eastAsia="宋体" w:cs="宋体"/>
          <w:bCs w:val="0"/>
          <w:color w:val="000000"/>
          <w:kern w:val="2"/>
          <w:sz w:val="44"/>
          <w:szCs w:val="44"/>
        </w:rPr>
      </w:pPr>
      <w:r>
        <w:rPr>
          <w:rFonts w:hint="eastAsia" w:ascii="宋体" w:hAnsi="宋体" w:eastAsia="宋体" w:cs="宋体"/>
          <w:bCs w:val="0"/>
          <w:color w:val="000000"/>
          <w:kern w:val="2"/>
          <w:sz w:val="44"/>
          <w:szCs w:val="44"/>
        </w:rPr>
        <w:t>培养对接方案</w:t>
      </w:r>
    </w:p>
    <w:p>
      <w:pPr>
        <w:rPr>
          <w:color w:val="000000"/>
        </w:rPr>
      </w:pPr>
    </w:p>
    <w:p>
      <w:pPr>
        <w:rPr>
          <w:color w:val="000000"/>
        </w:rPr>
      </w:pPr>
    </w:p>
    <w:p>
      <w:pPr>
        <w:rPr>
          <w:color w:val="000000"/>
        </w:rPr>
      </w:pP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为贯彻落实全国职业教育工作会议精神和《国务院关于加快发展现代职业教育的決定》，切实做好现代学徒制试点工作，进一步探索中高职衔接现代学徒制的人才培养模式，根据《教育部关于开展现代学徒制试点工作的意见》（教职成[2014]9号）有关要求，</w:t>
      </w:r>
      <w:r>
        <w:rPr>
          <w:rFonts w:hint="eastAsia" w:ascii="仿宋" w:hAnsi="仿宋" w:eastAsia="仿宋"/>
          <w:color w:val="000000"/>
          <w:sz w:val="28"/>
          <w:szCs w:val="28"/>
          <w:lang w:val="en-US" w:eastAsia="zh-CN"/>
        </w:rPr>
        <w:t>现接到</w:t>
      </w:r>
      <w:r>
        <w:rPr>
          <w:rFonts w:hint="eastAsia" w:ascii="仿宋" w:hAnsi="仿宋" w:eastAsia="仿宋"/>
          <w:color w:val="000000"/>
          <w:sz w:val="28"/>
          <w:szCs w:val="28"/>
        </w:rPr>
        <w:t>《关于广东省第一批产教融合型企业入库培育的通知》（粤发改社会函[2020]1937号），确定</w:t>
      </w:r>
      <w:r>
        <w:rPr>
          <w:rFonts w:hint="eastAsia" w:ascii="仿宋" w:hAnsi="仿宋" w:eastAsia="仿宋"/>
          <w:color w:val="000000"/>
          <w:sz w:val="28"/>
          <w:szCs w:val="28"/>
          <w:lang w:val="en-US" w:eastAsia="zh-CN"/>
        </w:rPr>
        <w:t>与我校有产教融合紧密合作的高新兴科技集团股份有限公司（序号43）、</w:t>
      </w:r>
      <w:r>
        <w:rPr>
          <w:rFonts w:hint="eastAsia" w:ascii="仿宋" w:hAnsi="仿宋" w:eastAsia="仿宋"/>
          <w:color w:val="000000"/>
          <w:sz w:val="28"/>
          <w:szCs w:val="28"/>
        </w:rPr>
        <w:t>广州数控设备有限公司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序号46）</w:t>
      </w:r>
      <w:r>
        <w:rPr>
          <w:rFonts w:hint="eastAsia" w:ascii="仿宋" w:hAnsi="仿宋" w:eastAsia="仿宋"/>
          <w:color w:val="000000"/>
          <w:sz w:val="28"/>
          <w:szCs w:val="28"/>
        </w:rPr>
        <w:t>为广东省第一批产教融合型企业，结合我校实际，特制定本培养对接方案。</w:t>
      </w:r>
    </w:p>
    <w:p>
      <w:pPr>
        <w:adjustRightInd w:val="0"/>
        <w:snapToGrid w:val="0"/>
        <w:spacing w:line="6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一、指导思想</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深入贯彻落实全国职业教育工作会议精神，以中职、高职、企业为核心，构建中高职衔接“创新技术人才”现代学徒制人才培养模式，促进学生的发展，为广东省第一批产教融合型企业—</w:t>
      </w:r>
      <w:r>
        <w:rPr>
          <w:rFonts w:hint="eastAsia" w:ascii="仿宋" w:hAnsi="仿宋" w:eastAsia="仿宋"/>
          <w:color w:val="000000"/>
          <w:sz w:val="28"/>
          <w:szCs w:val="28"/>
          <w:lang w:val="en-US" w:eastAsia="zh-CN"/>
        </w:rPr>
        <w:t>高新兴科技集团股份有限公司、</w:t>
      </w:r>
      <w:r>
        <w:rPr>
          <w:rFonts w:hint="eastAsia" w:ascii="仿宋" w:hAnsi="仿宋" w:eastAsia="仿宋"/>
          <w:color w:val="000000"/>
          <w:sz w:val="28"/>
          <w:szCs w:val="28"/>
        </w:rPr>
        <w:t>广州数控设备有限公司输送高技术技能人才。</w:t>
      </w:r>
    </w:p>
    <w:p>
      <w:pPr>
        <w:adjustRightInd w:val="0"/>
        <w:snapToGrid w:val="0"/>
        <w:spacing w:line="6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二、工作目标</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建立中职、企业、高职“三融通”协同培养的长效机制，开发中高职衔接的现代学徒制人才培养方案、课程体系和课程标准，创新工学结合的岗位实践教学方法，搭建学生“就业+升学”同步的发展通道，</w:t>
      </w:r>
      <w:r>
        <w:rPr>
          <w:rFonts w:hint="eastAsia" w:ascii="仿宋" w:hAnsi="仿宋" w:eastAsia="仿宋"/>
          <w:color w:val="000000"/>
          <w:sz w:val="28"/>
          <w:szCs w:val="28"/>
          <w:lang w:val="en-US" w:eastAsia="zh-CN"/>
        </w:rPr>
        <w:t>为</w:t>
      </w:r>
      <w:r>
        <w:rPr>
          <w:rFonts w:hint="eastAsia" w:ascii="仿宋" w:hAnsi="仿宋" w:eastAsia="仿宋"/>
          <w:color w:val="000000"/>
          <w:sz w:val="28"/>
          <w:szCs w:val="28"/>
        </w:rPr>
        <w:t>达到精准培养、精准就业、精准升学的“三精准”人才培养效果</w:t>
      </w:r>
      <w:r>
        <w:rPr>
          <w:rFonts w:hint="eastAsia" w:ascii="仿宋" w:hAnsi="仿宋" w:eastAsia="仿宋"/>
          <w:color w:val="000000"/>
          <w:sz w:val="28"/>
          <w:szCs w:val="28"/>
          <w:lang w:val="en-US" w:eastAsia="zh-CN"/>
        </w:rPr>
        <w:t>儿共同努力</w:t>
      </w:r>
      <w:r>
        <w:rPr>
          <w:rFonts w:hint="eastAsia" w:ascii="仿宋" w:hAnsi="仿宋" w:eastAsia="仿宋"/>
          <w:color w:val="000000"/>
          <w:sz w:val="28"/>
          <w:szCs w:val="28"/>
        </w:rPr>
        <w:t>。</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在贯彻落实《国家职业教育改革实施方案》的背景下，重点关注并研究解决职业教育在教师、教材、教法中存在的问题。教师、教材、教法分别对应解决“谁来教”、“教什么”、“如何教”三个核心问题。通过实施“三教”改革，打造一支德、技精湛的教师队伍，建设一批内容形式精良的现代学徒制教材，形成一套精准施教的有效教法。</w:t>
      </w:r>
    </w:p>
    <w:p>
      <w:pPr>
        <w:adjustRightInd w:val="0"/>
        <w:snapToGrid w:val="0"/>
        <w:spacing w:line="6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三、现代学徒制人才培养模式要解决的主要问题</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 解决学生在顶岗实习和中高职衔接存在的问题。</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现在职业学校都积极实践和探索工学结合教学改革，普遍职业学校的学生先通过前两年的学习掌握基本的专业知识和专业技能，并获得相应的中级技能等级证书，第三年学生进入企业，顶岗实习。在顶岗实习中，普遍存在学生顶岗实习目标不明确，顶岗实习缺教材缺标准，很难进行统一的评价准则。</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在中高职衔接上，存在以下问题，第一学生在选择就业还是升学在举棋不定。第二学生在专业的选择上没有明确方向。第三高职院校在推行学徒制改革中，招生成为大难题。</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通过对现代学徒制校企合作模式的创新，增强了中职和高职的紧密衔接，在源头上增强学生对现代学徒制人才培养模式的自信，最终以合格的人才满足企业的用工需求、员工的学历技能提升需要，从而构建新型中高职衔接校企合作关系。</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通过构建中高职衔接“创新技术人才”现代学徒制人才培养模式，解决学生在顶岗实习和中高职衔接存在的问题。</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（二）探索工学结合的教学运行与管理机制。</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建立一套两校、一企、三方共同的，既符合全日制学历教育规律，又结合企业实际情况、与现代学徒制运行特点相适应的教学运行管理与评价体系。</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（三）校企共同制定人才培养方案和标准。</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按照“合作共赢、职责共担”原则，校企共同设计人才培养方案，共同制订专业教学标准、课程标准、岗位标准、企业师傅标准、质量监控标准以及相应的实施方案。校企共同建设基于工作内容的专业课程和基于典型工作过程的专业课程体系，开发基于岗位工作内容、融入国家职业资格标准的专业教学内容和教材。</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（四）建设校企互聘互用的师资队伍。</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共建“双导师”管理和激励机制，建立健全校企互聘互用的管理机制，明确双导师选拔条件和职责。开展企业导师队伍选拔培养工作，校企共同制定企业导师资格认证培养体系，与合作企业共同开展企业导师师资选拔和培养，帮助企业建立现代学徒制企业导师队伍。</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建立校企导师定期教学研讨交流制度，为企业导师实施课堂授课技巧、岗位工作辅导技巧等教学技能培训，安排学校负责现代学徒制授课的教师深入企业对应岗位，参加企业生产和经营实践，提升专业教师实践能力培养。</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四、具体实施步骤</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第1学年，学生在学校完成技术专业(文化)课程理论学习的任务，掌握专业所需各项基本技能，企业派技能骨干和一线管理者担任兼职教师到学校，进课堂给学生进行讲课。让学生认识行业，认识岗位。让学生接触、感悟行业、企业文化。</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(二)第2学年，学生在学校进行模块化的专业技能课程的学习。企业配置生产设备进学校，企业派师傅进课堂，进行双师课程教学。学生学习企业生产技术和工艺模块课程。</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(三)第3学年，学生进入企业进行顶岗实习，中等职业学校负责统、组织学生进入企业顶岗实习，负责过程管理和成绩考核，企业负责日常管理和岗位安排。企业师傅和学校带队教师继续对学生进行实习指导。</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（四）第4、5、6学年，学生与企业进行双向选择。有意向留在企业进行学徒制学习的学生向企业报名。企业对报名学徒的学生进行面试选拔。通过面试的学生正式与企业签订就业协议，成为企业的正式员工。</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学生成为企业的正式员工后，通过高职院校的考试选拔，也正式成为高职院的学生。</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生在企业由学生转成技术生手，再由生手变成熟手技术工人，再由技术工人发展到技术师傅，再由技术师傅发展到创新技术人才。在岗位上，学生由一般的生产岗位，不断调整到高技术岗位。在企业师傅和老师的共同带领下，在企业进行生产技术改进，生产工艺改良等技术创新工作，最终成长为创新技术人才。</w:t>
      </w:r>
    </w:p>
    <w:p>
      <w:pPr>
        <w:adjustRightInd w:val="0"/>
        <w:snapToGrid w:val="0"/>
        <w:spacing w:line="6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五、项目预期的成果和效果</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(一)学生、学校、企业的自觉约定—— 构建校企合作平台，现代学徒制推动了校企深度合作。一是，学徒是企业员工或准员工，企业对其培养自然会尽心尽力。学徒过程中，学生可以较快提高对企业的认知，包括产品、工艺特点、企业文化、经营理念等。二是，学徒实习内容就是企业当下岗位生产任务,学生在学校学习相关专业理论知识和技能之后做学徒，更能融会贯通。</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(二)课程体系的重构、课程内容的重组—— 重建学习载体。学徒过程的反馈信息可作为教学计划、教学内容修改的可靠依据。教学计划因而可被设计成“基础课程+专业课程+学徒项目课程”的结构。由此推及的教学和培训的运作环节,将会更好地体现了学校和企业在人才培养方面的深度融合。</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 “工”与“学”的交替——变革教学组织和管理模式。由于教学空间延伸由校内到校外，参与主体的多元化，在教学管理运行中，要求做到工学衔接合理，在教学管理的方方面面充分体现以他方为中心和一切为了学生更好地发展的教育理念。</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可持续发展的价值取向。学徒“就地就业”后对培训企业有感情，有在企业长期工作的意愿，有较强的专业兴趣和职业责任感。企业也会更加认可他们，他们在企业将会得到更好的发展平台，达到学校、家长、企业共同满意的效果。</w:t>
      </w:r>
    </w:p>
    <w:p>
      <w:pPr>
        <w:adjustRightInd w:val="0"/>
        <w:snapToGrid w:val="0"/>
        <w:spacing w:line="6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六、具体实施</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（一）成立工作领导小组。</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成立由学校领导、相关科室负责人及专业学部负责人组成的工作领导小组，全面指导协调现代学徒制开展的各项工作。招生就业</w:t>
      </w:r>
      <w:r>
        <w:rPr>
          <w:rFonts w:hint="eastAsia" w:ascii="仿宋" w:hAnsi="仿宋" w:eastAsia="仿宋"/>
          <w:color w:val="000000"/>
          <w:sz w:val="28"/>
          <w:szCs w:val="28"/>
          <w:lang w:val="en-US" w:eastAsia="zh-CN"/>
        </w:rPr>
        <w:t>处</w:t>
      </w:r>
      <w:r>
        <w:rPr>
          <w:rFonts w:hint="eastAsia" w:ascii="仿宋" w:hAnsi="仿宋" w:eastAsia="仿宋"/>
          <w:color w:val="000000"/>
          <w:sz w:val="28"/>
          <w:szCs w:val="28"/>
        </w:rPr>
        <w:t>负责开展现代学徒制合作企业的相关工作；教务处负责与高职学院的相关工作，各学部负责开展本专业现代学徒制落实工作，并配备一名联络员负责日常工作。</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1.招生</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（1）依据中、高职、企业三方实际情况与需求，制定招生方案。</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（2）做好招生宣传和学徒报到相关工作。</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（3）定期去企业回访、调研。</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（主责处室：招生就业</w:t>
      </w:r>
      <w:r>
        <w:rPr>
          <w:rFonts w:hint="eastAsia" w:ascii="仿宋" w:hAnsi="仿宋" w:eastAsia="仿宋"/>
          <w:color w:val="000000"/>
          <w:sz w:val="28"/>
          <w:szCs w:val="28"/>
          <w:lang w:val="en-US" w:eastAsia="zh-CN"/>
        </w:rPr>
        <w:t>处</w:t>
      </w:r>
      <w:bookmarkStart w:id="0" w:name="_GoBack"/>
      <w:bookmarkEnd w:id="0"/>
      <w:r>
        <w:rPr>
          <w:rFonts w:hint="eastAsia" w:ascii="仿宋" w:hAnsi="仿宋" w:eastAsia="仿宋"/>
          <w:color w:val="000000"/>
          <w:sz w:val="28"/>
          <w:szCs w:val="28"/>
        </w:rPr>
        <w:t>；协办部门：教务处、德育处、学部）</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2.教学管理</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（1）制定中、高职、企业三方联合的学徒培养方案，包括模块化课程开发、教材编制、教学计划、教学管理和教学评价等内容。</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（2）与企业共同制定中高职衔接现代学徒制实施过程中配套的标准与制度。</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（3）建设校企“双导师”教师团队。安排骨干教师到企业现场锻炼并协助学徒管理；建立企业优秀实训教师库。</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（主责处室：教务处、教科研室、学部；协办处室：招生就业</w:t>
      </w:r>
      <w:r>
        <w:rPr>
          <w:rFonts w:hint="eastAsia" w:ascii="仿宋" w:hAnsi="仿宋" w:eastAsia="仿宋"/>
          <w:color w:val="000000"/>
          <w:sz w:val="28"/>
          <w:szCs w:val="28"/>
          <w:lang w:val="en-US" w:eastAsia="zh-CN"/>
        </w:rPr>
        <w:t>处</w:t>
      </w:r>
      <w:r>
        <w:rPr>
          <w:rFonts w:hint="eastAsia" w:ascii="仿宋" w:hAnsi="仿宋" w:eastAsia="仿宋"/>
          <w:color w:val="000000"/>
          <w:sz w:val="28"/>
          <w:szCs w:val="28"/>
        </w:rPr>
        <w:t>、德育处）</w:t>
      </w:r>
    </w:p>
    <w:p>
      <w:pPr>
        <w:adjustRightInd w:val="0"/>
        <w:snapToGrid w:val="0"/>
        <w:spacing w:line="6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七、相关要求</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(一)提高认识，高度重视。</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中高职衔接现代学徒制是职业教育办学模式的重大改革，更是职业教育发展壮大、办强办精的迫切需要。我们要顺应国家现代职业教育的发展方向，深刻理解现代学徒制的内涵，打破传统招生模式、教学模式和管理模式的局限，把我校推进中高职衔接现代学徒制工作落到实处。</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(二)规范管理，保证质量。</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中高职衔接现代学徒制对课堂教学、学徒管理、与高职、企业协商等各方面工作提出了更高的要求，我们要守住办学质量的底线，抓好教学常规，规范学徒管理，经营好校企关系。要夯实招生、教学、管理、鉴定、就业的各个环节，做到横向到边、纵向到底,并收集和保存好各个环节的原始资料。要严格执行国家免学费和助学金的相关政策，认真核实，实事求是地做好助学资助管理。</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（三）加强领导，统筹协调。</w:t>
      </w:r>
    </w:p>
    <w:p>
      <w:pPr>
        <w:adjustRightInd w:val="0"/>
        <w:snapToGrid w:val="0"/>
        <w:spacing w:line="6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各部门负责人是我校中高职衔接现代学徒制工作的第一责任人，在推进过程中要克服困难，顾全大局，局部利益服从整体利益，要根据本部门职责出台具体的实施细则和配套措施。</w:t>
      </w:r>
    </w:p>
    <w:p>
      <w:pPr>
        <w:adjustRightInd w:val="0"/>
        <w:snapToGrid w:val="0"/>
        <w:spacing w:line="620" w:lineRule="exact"/>
        <w:ind w:firstLine="560" w:firstLineChars="200"/>
        <w:rPr>
          <w:rFonts w:ascii="仿宋" w:hAnsi="仿宋" w:eastAsia="仿宋"/>
          <w:color w:val="000000"/>
          <w:sz w:val="28"/>
          <w:szCs w:val="28"/>
        </w:rPr>
      </w:pPr>
    </w:p>
    <w:p>
      <w:pPr>
        <w:adjustRightInd w:val="0"/>
        <w:snapToGrid w:val="0"/>
        <w:spacing w:line="620" w:lineRule="exact"/>
        <w:ind w:firstLine="560" w:firstLineChars="200"/>
        <w:jc w:val="center"/>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广州市黄埔职业技术学校</w:t>
      </w:r>
    </w:p>
    <w:p>
      <w:pPr>
        <w:adjustRightInd w:val="0"/>
        <w:snapToGrid w:val="0"/>
        <w:spacing w:line="620" w:lineRule="exact"/>
        <w:ind w:firstLine="5880" w:firstLineChars="2100"/>
        <w:rPr>
          <w:rFonts w:ascii="仿宋" w:hAnsi="仿宋" w:eastAsia="仿宋"/>
          <w:color w:val="000000"/>
          <w:sz w:val="28"/>
          <w:szCs w:val="28"/>
        </w:rPr>
      </w:pPr>
      <w:r>
        <w:rPr>
          <w:rFonts w:hint="eastAsia" w:ascii="仿宋" w:hAnsi="仿宋" w:eastAsia="仿宋"/>
          <w:color w:val="000000"/>
          <w:sz w:val="28"/>
          <w:szCs w:val="28"/>
          <w:lang w:eastAsia="zh-CN"/>
        </w:rPr>
        <w:t>二〇二〇年十一月二十五日</w:t>
      </w:r>
    </w:p>
    <w:p>
      <w:pPr>
        <w:adjustRightInd w:val="0"/>
        <w:snapToGrid w:val="0"/>
        <w:spacing w:line="620" w:lineRule="exact"/>
        <w:ind w:firstLine="560" w:firstLineChars="200"/>
        <w:rPr>
          <w:rFonts w:ascii="仿宋" w:hAnsi="仿宋" w:eastAsia="仿宋"/>
          <w:color w:val="000000"/>
          <w:sz w:val="28"/>
          <w:szCs w:val="28"/>
        </w:rPr>
      </w:pPr>
    </w:p>
    <w:sectPr>
      <w:headerReference r:id="rId3" w:type="default"/>
      <w:pgSz w:w="11906" w:h="16838"/>
      <w:pgMar w:top="1440" w:right="1080" w:bottom="1440" w:left="1080"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5AF6"/>
    <w:rsid w:val="0008422B"/>
    <w:rsid w:val="00087E77"/>
    <w:rsid w:val="001570EA"/>
    <w:rsid w:val="00257CFE"/>
    <w:rsid w:val="00277E54"/>
    <w:rsid w:val="002C33F4"/>
    <w:rsid w:val="002F1273"/>
    <w:rsid w:val="0034260E"/>
    <w:rsid w:val="003F5AF6"/>
    <w:rsid w:val="00401C9A"/>
    <w:rsid w:val="004179E7"/>
    <w:rsid w:val="00481B6B"/>
    <w:rsid w:val="005D5594"/>
    <w:rsid w:val="006264F7"/>
    <w:rsid w:val="006B4DC2"/>
    <w:rsid w:val="006D23F4"/>
    <w:rsid w:val="006D26F4"/>
    <w:rsid w:val="006E40D5"/>
    <w:rsid w:val="007B4113"/>
    <w:rsid w:val="007C38D8"/>
    <w:rsid w:val="007C5FCC"/>
    <w:rsid w:val="008A5B89"/>
    <w:rsid w:val="008D7091"/>
    <w:rsid w:val="008E5C24"/>
    <w:rsid w:val="0090262D"/>
    <w:rsid w:val="00906666"/>
    <w:rsid w:val="009801A5"/>
    <w:rsid w:val="00A21CEE"/>
    <w:rsid w:val="00A7115A"/>
    <w:rsid w:val="00AC6E4F"/>
    <w:rsid w:val="00AF18F8"/>
    <w:rsid w:val="00AF2800"/>
    <w:rsid w:val="00AF68E6"/>
    <w:rsid w:val="00B14127"/>
    <w:rsid w:val="00B56919"/>
    <w:rsid w:val="00BB0B84"/>
    <w:rsid w:val="00BD4256"/>
    <w:rsid w:val="00C00105"/>
    <w:rsid w:val="00D2158D"/>
    <w:rsid w:val="00D52E5D"/>
    <w:rsid w:val="00D57609"/>
    <w:rsid w:val="00D71DB8"/>
    <w:rsid w:val="00DA2083"/>
    <w:rsid w:val="00E0105B"/>
    <w:rsid w:val="00EF0203"/>
    <w:rsid w:val="00F21BF8"/>
    <w:rsid w:val="00F24FB7"/>
    <w:rsid w:val="00F676E0"/>
    <w:rsid w:val="32F66ED2"/>
    <w:rsid w:val="34087B2E"/>
    <w:rsid w:val="41236731"/>
    <w:rsid w:val="43356E6D"/>
    <w:rsid w:val="6B0B6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iPriority w:val="0"/>
    <w:pPr>
      <w:jc w:val="left"/>
    </w:pPr>
  </w:style>
  <w:style w:type="paragraph" w:styleId="4">
    <w:name w:val="Body Text Indent"/>
    <w:basedOn w:val="1"/>
    <w:qFormat/>
    <w:uiPriority w:val="0"/>
    <w:pPr>
      <w:widowControl/>
      <w:wordWrap w:val="0"/>
      <w:spacing w:before="100" w:beforeAutospacing="1" w:after="100" w:afterAutospacing="1" w:line="360" w:lineRule="auto"/>
      <w:jc w:val="left"/>
    </w:pPr>
    <w:rPr>
      <w:rFonts w:ascii="ˎ̥" w:hAnsi="ˎ̥" w:cs="宋体"/>
      <w:color w:val="000000"/>
      <w:kern w:val="0"/>
      <w:sz w:val="17"/>
      <w:szCs w:val="17"/>
    </w:rPr>
  </w:style>
  <w:style w:type="paragraph" w:styleId="5">
    <w:name w:val="Balloon Text"/>
    <w:basedOn w:val="1"/>
    <w:link w:val="17"/>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Hyperlink"/>
    <w:basedOn w:val="10"/>
    <w:uiPriority w:val="99"/>
    <w:rPr>
      <w:color w:val="0000FF"/>
      <w:u w:val="single"/>
    </w:rPr>
  </w:style>
  <w:style w:type="character" w:styleId="12">
    <w:name w:val="annotation reference"/>
    <w:basedOn w:val="10"/>
    <w:qFormat/>
    <w:uiPriority w:val="0"/>
    <w:rPr>
      <w:sz w:val="21"/>
      <w:szCs w:val="21"/>
    </w:rPr>
  </w:style>
  <w:style w:type="character" w:customStyle="1" w:styleId="13">
    <w:name w:val="标题 1 Char"/>
    <w:link w:val="2"/>
    <w:qFormat/>
    <w:uiPriority w:val="0"/>
    <w:rPr>
      <w:rFonts w:ascii="宋体" w:hAnsi="宋体" w:cs="宋体"/>
      <w:b/>
      <w:bCs/>
      <w:kern w:val="36"/>
      <w:sz w:val="48"/>
      <w:szCs w:val="48"/>
    </w:rPr>
  </w:style>
  <w:style w:type="character" w:customStyle="1" w:styleId="14">
    <w:name w:val="页眉 Char"/>
    <w:link w:val="7"/>
    <w:qFormat/>
    <w:uiPriority w:val="99"/>
    <w:rPr>
      <w:kern w:val="2"/>
      <w:sz w:val="18"/>
      <w:szCs w:val="18"/>
    </w:rPr>
  </w:style>
  <w:style w:type="character" w:customStyle="1" w:styleId="15">
    <w:name w:val="批注文字 Char"/>
    <w:basedOn w:val="10"/>
    <w:link w:val="3"/>
    <w:qFormat/>
    <w:uiPriority w:val="0"/>
    <w:rPr>
      <w:kern w:val="2"/>
      <w:sz w:val="21"/>
      <w:szCs w:val="24"/>
    </w:rPr>
  </w:style>
  <w:style w:type="character" w:customStyle="1" w:styleId="16">
    <w:name w:val="批注主题 Char"/>
    <w:basedOn w:val="15"/>
    <w:link w:val="8"/>
    <w:qFormat/>
    <w:uiPriority w:val="0"/>
    <w:rPr>
      <w:b/>
      <w:bCs/>
      <w:kern w:val="2"/>
      <w:sz w:val="21"/>
      <w:szCs w:val="24"/>
    </w:rPr>
  </w:style>
  <w:style w:type="character" w:customStyle="1" w:styleId="17">
    <w:name w:val="批注框文本 Char"/>
    <w:basedOn w:val="10"/>
    <w:link w:val="5"/>
    <w:qFormat/>
    <w:uiPriority w:val="0"/>
    <w:rPr>
      <w:kern w:val="2"/>
      <w:sz w:val="18"/>
      <w:szCs w:val="18"/>
    </w:rPr>
  </w:style>
  <w:style w:type="paragraph" w:customStyle="1" w:styleId="18">
    <w:name w:val="修订1"/>
    <w:qFormat/>
    <w:uiPriority w:val="99"/>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42727-FC20-44E6-AAAA-284365B5C4AF}">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7</Pages>
  <Words>523</Words>
  <Characters>2986</Characters>
  <Lines>24</Lines>
  <Paragraphs>7</Paragraphs>
  <TotalTime>5</TotalTime>
  <ScaleCrop>false</ScaleCrop>
  <LinksUpToDate>false</LinksUpToDate>
  <CharactersWithSpaces>3502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2020-11-25T00:58:00Z</dcterms:created>
  <dc:creator>caijun</dc:creator>
  <cp:lastModifiedBy>Administrator</cp:lastModifiedBy>
  <cp:lastPrinted>2018-04-11T02:14:00Z</cp:lastPrinted>
  <dcterms:modified xsi:type="dcterms:W3CDTF">2020-11-26T00:21:36Z</dcterms:modified>
  <dc:title>校企合作实习基地协议书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