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7" w:type="dxa"/>
        <w:tblCellSpacing w:w="0" w:type="dxa"/>
        <w:tblBorders>
          <w:top w:val="single" w:sz="6" w:space="0" w:color="BED6E0"/>
          <w:left w:val="single" w:sz="6" w:space="0" w:color="BED6E0"/>
          <w:bottom w:val="single" w:sz="6" w:space="0" w:color="BED6E0"/>
          <w:right w:val="single" w:sz="6" w:space="0" w:color="BED6E0"/>
        </w:tblBorders>
        <w:tblCellMar>
          <w:left w:w="0" w:type="dxa"/>
          <w:right w:w="0" w:type="dxa"/>
        </w:tblCellMar>
        <w:tblLook w:val="04A0"/>
      </w:tblPr>
      <w:tblGrid>
        <w:gridCol w:w="10647"/>
      </w:tblGrid>
      <w:tr w:rsidR="00E95DE4" w:rsidRPr="00E95DE4" w:rsidTr="00E95DE4">
        <w:trPr>
          <w:tblCellSpacing w:w="0" w:type="dxa"/>
        </w:trPr>
        <w:tc>
          <w:tcPr>
            <w:tcW w:w="10647" w:type="dxa"/>
            <w:vAlign w:val="center"/>
            <w:hideMark/>
          </w:tcPr>
          <w:tbl>
            <w:tblPr>
              <w:tblW w:w="4895" w:type="pct"/>
              <w:tblCellSpacing w:w="0" w:type="dxa"/>
              <w:tblCellMar>
                <w:left w:w="0" w:type="dxa"/>
                <w:right w:w="0" w:type="dxa"/>
              </w:tblCellMar>
              <w:tblLook w:val="04A0"/>
            </w:tblPr>
            <w:tblGrid>
              <w:gridCol w:w="10394"/>
            </w:tblGrid>
            <w:tr w:rsidR="00E95DE4" w:rsidRPr="00E95DE4" w:rsidTr="00E95DE4">
              <w:trPr>
                <w:trHeight w:val="975"/>
                <w:tblCellSpacing w:w="0" w:type="dxa"/>
              </w:trPr>
              <w:tc>
                <w:tcPr>
                  <w:tcW w:w="5000" w:type="pct"/>
                  <w:tcBorders>
                    <w:bottom w:val="single" w:sz="6" w:space="0" w:color="D1D2CD"/>
                  </w:tcBorders>
                  <w:vAlign w:val="center"/>
                  <w:hideMark/>
                </w:tcPr>
                <w:p w:rsidR="00E95DE4" w:rsidRPr="00E95DE4" w:rsidRDefault="00E95DE4" w:rsidP="00E95DE4">
                  <w:pPr>
                    <w:widowControl/>
                    <w:jc w:val="center"/>
                    <w:rPr>
                      <w:rFonts w:ascii="宋体" w:eastAsia="宋体" w:hAnsi="宋体" w:cs="宋体"/>
                      <w:b/>
                      <w:bCs/>
                      <w:kern w:val="0"/>
                      <w:sz w:val="30"/>
                      <w:szCs w:val="30"/>
                    </w:rPr>
                  </w:pPr>
                  <w:bookmarkStart w:id="0" w:name="_GoBack" w:colFirst="0" w:colLast="1"/>
                  <w:r w:rsidRPr="00E95DE4">
                    <w:rPr>
                      <w:rFonts w:ascii="宋体" w:eastAsia="宋体" w:hAnsi="宋体" w:cs="宋体"/>
                      <w:b/>
                      <w:bCs/>
                      <w:kern w:val="0"/>
                      <w:sz w:val="30"/>
                      <w:szCs w:val="30"/>
                    </w:rPr>
                    <w:t>国务院关于加强职业培训促进就业的意见（国发〔2010〕36号） </w:t>
                  </w:r>
                </w:p>
              </w:tc>
            </w:tr>
            <w:bookmarkEnd w:id="0"/>
          </w:tbl>
          <w:p w:rsidR="00E95DE4" w:rsidRPr="00E95DE4" w:rsidRDefault="00E95DE4" w:rsidP="00E95DE4">
            <w:pPr>
              <w:widowControl/>
              <w:spacing w:before="75"/>
              <w:jc w:val="left"/>
              <w:rPr>
                <w:rFonts w:ascii="宋体" w:eastAsia="宋体" w:hAnsi="宋体" w:cs="宋体"/>
                <w:kern w:val="0"/>
                <w:sz w:val="24"/>
                <w:szCs w:val="24"/>
              </w:rPr>
            </w:pPr>
          </w:p>
        </w:tc>
      </w:tr>
      <w:tr w:rsidR="00E95DE4" w:rsidRPr="00E95DE4" w:rsidTr="00E95DE4">
        <w:trPr>
          <w:tblCellSpacing w:w="0" w:type="dxa"/>
        </w:trPr>
        <w:tc>
          <w:tcPr>
            <w:tcW w:w="10647" w:type="dxa"/>
            <w:vAlign w:val="center"/>
            <w:hideMark/>
          </w:tcPr>
          <w:tbl>
            <w:tblPr>
              <w:tblW w:w="4500" w:type="pct"/>
              <w:jc w:val="center"/>
              <w:tblCellSpacing w:w="0" w:type="dxa"/>
              <w:tblBorders>
                <w:bottom w:val="single" w:sz="6" w:space="0" w:color="D1D2CD"/>
              </w:tblBorders>
              <w:tblCellMar>
                <w:left w:w="0" w:type="dxa"/>
                <w:right w:w="0" w:type="dxa"/>
              </w:tblCellMar>
              <w:tblLook w:val="04A0"/>
            </w:tblPr>
            <w:tblGrid>
              <w:gridCol w:w="8873"/>
              <w:gridCol w:w="341"/>
              <w:gridCol w:w="341"/>
            </w:tblGrid>
            <w:tr w:rsidR="00E95DE4" w:rsidRPr="00E95DE4">
              <w:trPr>
                <w:trHeight w:val="480"/>
                <w:tblCellSpacing w:w="0" w:type="dxa"/>
                <w:jc w:val="center"/>
              </w:trPr>
              <w:tc>
                <w:tcPr>
                  <w:tcW w:w="0" w:type="auto"/>
                  <w:tcMar>
                    <w:top w:w="0" w:type="dxa"/>
                    <w:left w:w="150" w:type="dxa"/>
                    <w:bottom w:w="0" w:type="dxa"/>
                    <w:right w:w="0" w:type="dxa"/>
                  </w:tcMar>
                  <w:vAlign w:val="center"/>
                  <w:hideMark/>
                </w:tcPr>
                <w:p w:rsidR="00E95DE4" w:rsidRPr="00E95DE4" w:rsidRDefault="00E95DE4" w:rsidP="00E95DE4">
                  <w:pPr>
                    <w:widowControl/>
                    <w:jc w:val="left"/>
                    <w:rPr>
                      <w:rFonts w:ascii="宋体" w:eastAsia="宋体" w:hAnsi="宋体" w:cs="宋体"/>
                      <w:kern w:val="0"/>
                      <w:sz w:val="18"/>
                      <w:szCs w:val="18"/>
                    </w:rPr>
                  </w:pPr>
                </w:p>
              </w:tc>
              <w:tc>
                <w:tcPr>
                  <w:tcW w:w="0" w:type="auto"/>
                  <w:vAlign w:val="center"/>
                  <w:hideMark/>
                </w:tcPr>
                <w:p w:rsidR="00E95DE4" w:rsidRPr="00E95DE4" w:rsidRDefault="00E95DE4" w:rsidP="00E95DE4">
                  <w:pPr>
                    <w:widowControl/>
                    <w:jc w:val="left"/>
                    <w:rPr>
                      <w:rFonts w:ascii="宋体" w:eastAsia="宋体" w:hAnsi="宋体" w:cs="宋体"/>
                      <w:kern w:val="0"/>
                      <w:sz w:val="18"/>
                      <w:szCs w:val="18"/>
                    </w:rPr>
                  </w:pPr>
                </w:p>
              </w:tc>
              <w:tc>
                <w:tcPr>
                  <w:tcW w:w="0" w:type="auto"/>
                  <w:vAlign w:val="center"/>
                  <w:hideMark/>
                </w:tcPr>
                <w:p w:rsidR="00E95DE4" w:rsidRPr="00E95DE4" w:rsidRDefault="00E95DE4" w:rsidP="00E95DE4">
                  <w:pPr>
                    <w:widowControl/>
                    <w:jc w:val="left"/>
                    <w:rPr>
                      <w:rFonts w:ascii="宋体" w:eastAsia="宋体" w:hAnsi="宋体" w:cs="宋体"/>
                      <w:kern w:val="0"/>
                      <w:sz w:val="18"/>
                      <w:szCs w:val="18"/>
                    </w:rPr>
                  </w:pPr>
                </w:p>
              </w:tc>
            </w:tr>
          </w:tbl>
          <w:p w:rsidR="00E95DE4" w:rsidRPr="00E95DE4" w:rsidRDefault="00E95DE4" w:rsidP="00E95DE4">
            <w:pPr>
              <w:widowControl/>
              <w:spacing w:before="75"/>
              <w:jc w:val="left"/>
              <w:rPr>
                <w:rFonts w:ascii="宋体" w:eastAsia="宋体" w:hAnsi="宋体" w:cs="宋体"/>
                <w:kern w:val="0"/>
                <w:sz w:val="24"/>
                <w:szCs w:val="24"/>
              </w:rPr>
            </w:pPr>
          </w:p>
        </w:tc>
      </w:tr>
      <w:tr w:rsidR="00E95DE4" w:rsidRPr="00E95DE4" w:rsidTr="00E95DE4">
        <w:trPr>
          <w:tblCellSpacing w:w="0" w:type="dxa"/>
        </w:trPr>
        <w:tc>
          <w:tcPr>
            <w:tcW w:w="10647" w:type="dxa"/>
            <w:vAlign w:val="center"/>
            <w:hideMark/>
          </w:tcPr>
          <w:tbl>
            <w:tblPr>
              <w:tblW w:w="4500" w:type="pct"/>
              <w:jc w:val="center"/>
              <w:tblCellSpacing w:w="0" w:type="dxa"/>
              <w:tblCellMar>
                <w:left w:w="0" w:type="dxa"/>
                <w:right w:w="0" w:type="dxa"/>
              </w:tblCellMar>
              <w:tblLook w:val="04A0"/>
            </w:tblPr>
            <w:tblGrid>
              <w:gridCol w:w="9555"/>
            </w:tblGrid>
            <w:tr w:rsidR="00E95DE4" w:rsidRPr="00E95DE4">
              <w:trPr>
                <w:tblCellSpacing w:w="0" w:type="dxa"/>
                <w:jc w:val="center"/>
              </w:trPr>
              <w:tc>
                <w:tcPr>
                  <w:tcW w:w="0" w:type="auto"/>
                  <w:hideMark/>
                </w:tcPr>
                <w:p w:rsidR="00E95DE4" w:rsidRPr="00E95DE4" w:rsidRDefault="00E95DE4" w:rsidP="00E95DE4">
                  <w:pPr>
                    <w:widowControl/>
                    <w:spacing w:after="225"/>
                    <w:ind w:left="45" w:right="45" w:firstLine="16"/>
                    <w:jc w:val="left"/>
                    <w:rPr>
                      <w:rFonts w:ascii="宋体" w:eastAsia="宋体" w:hAnsi="宋体" w:cs="宋体"/>
                      <w:kern w:val="0"/>
                      <w:sz w:val="24"/>
                      <w:szCs w:val="24"/>
                    </w:rPr>
                  </w:pPr>
                  <w:r w:rsidRPr="00E95DE4">
                    <w:rPr>
                      <w:rFonts w:ascii="宋体" w:eastAsia="宋体" w:hAnsi="宋体" w:cs="宋体"/>
                      <w:kern w:val="0"/>
                      <w:sz w:val="24"/>
                      <w:szCs w:val="24"/>
                    </w:rPr>
                    <w:t>各省、自治区、直辖市人民政府，国务院各部委、各直属机构：</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改革开放以来，我国职业培训工作取得了显著成效，职业培训体系初步建立，政策措施逐步完善，培训规模不断扩大，劳动者职业素质和就业能力得到不断提高，对促进就业和经济社会发展发挥了重要作用。与此同时，职业培训工作仍不适应社会经济发展、产业结构调整和劳动者素质提高的需要，职业培训的制度需要进一步健全、工作力度需要进一步加大、针对性和有效性需要进一步增强。为认真落实《国家中长期人才发展规划纲要（2010—2020年）》、《国家中长期教育改革和发展规划纲要（2010—2020年）》要求，全面提高劳动者职业技能水平，加快技能人才队伍建设，现就加强职业培训促进就业提出如下意见：</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b/>
                      <w:bCs/>
                      <w:kern w:val="0"/>
                      <w:sz w:val="24"/>
                      <w:szCs w:val="24"/>
                    </w:rPr>
                    <w:t>一、充分认识加强职业培训的重要性和紧迫性</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一）加强职业培训是促进就业和经济发展的重大举措。职业培训是提高劳动者技能水平和就业创业能力的主要途径。大力加强职业培训工作，建立健全面向全体劳动者的职业培训制度，是实施扩大就业的发展战略，解决就业总量矛盾和结构性矛盾，促进就业和稳定就业的根本措施；是贯彻落实人才强国战略，加快技能人才队伍建设，建设人力资源强国的重要任务；是加快经济发展方式转变，促进产业结构调整，提高企业自主创新能力和核心竞争力的必然要求；也是推进城乡统筹发展，加快工业化和城镇化进程的有效手段。</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二）明确职业培训工作的指导思想和目标任务。职业培训工作的指导思想是：深入贯彻落实科学发展观，以服务就业和经济发展为宗旨，坚持城乡统筹、就业导向、技能为本、终身培训的原则，建立覆盖对象广泛、培训形式多样、管理运作规范、保障措施健全的职业培训工作新机制，健全面向全体劳动者的职业培训制度，加快培养数以亿计的高素质技能劳动者。</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当前和今后一个时期，职业培训工作的主要任务是：适应扩大就业规模、提高就业质量和增强企业竞争力的需要，完善制度、创新机制、加大投入，大规模开展就业技能培训、岗位技能提升培训和创业培训，切实提高职业培训的针对性和有效性，努力实现“培训一人、就业一人”和“就业一人、培训一人”的目标，为促进就业和经济社会发展提供强有力的技能人才支持。“十二五”期间，力争使新进入人力资源市场的劳动者都有机会接受相应的职业培训，使企业技能岗位的职工得到至少一次技能提升培训，使每个有培训愿望的创业者都参加一次创业培训，使高技能人才培训满足产业结构优化升级和企业发展需求。</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b/>
                      <w:bCs/>
                      <w:kern w:val="0"/>
                      <w:sz w:val="24"/>
                      <w:szCs w:val="24"/>
                    </w:rPr>
                    <w:t>二、大力开展各种形式的职业培训</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三）健全职业培训制度。适应城乡全体劳动者就业需要和职业生涯发展要求，健全职业培训制度。要统筹利用各类职业培训资源，建立以职业院校、企业和各类职业培训机构为载体的职业培训体系，大力开展就业技能培训、岗位技能提升培训和创业培训，贯通技能劳动者从初级工、中级工、高级工到技师、高级技师的成长通道。</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lastRenderedPageBreak/>
                    <w:t>（四）大力开展就业技能培训。要面向城乡各类有就业要求和培训愿望的劳动者开展多种形式就业技能培训。坚持以就业为导向，强化实际操作技能训练和职业素质培养，使他们达到上岗要求或掌握初级以上职业技能，着力提高培训后的就业率。对农村转移就业劳动者和城镇登记失业人员，要重点开展初级技能培训，使其掌握就业的一技之长；对城乡未继续升学的应届初高中毕业生等新成长劳动力，鼓励其参加1-2个学期的劳动预备制培训，提升技能水平和就业能力；对企业新录用的人员，要结合就业岗位的实际要求，通过师傅带徒弟、集中培训等形式开展岗前培训；对退役士兵要积极开展免费职业技能培训；对职业院校学生要强化职业技能和从业素质培养，使他们掌握中级以上职业技能。鼓励高等院校大力开展职业技能和就业能力培训，加强就业创业教育和就业指导服务，促进高校毕业生就业。</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五）切实加强岗位技能提升培训。适应企业产业升级和技术进步的要求，进一步健全企业职工培训制度，充分发挥企业在职业培训工作中的重要作用。鼓励企业通过多种方式广泛开展在岗职工技能提升培训和高技能人才培训。要结合技术进步和产业升级对职工技能水平的要求，通过在岗培训、脱产培训、业务研修、技能竞赛等多种形式，加快提升企业在岗职工的技能水平。鼓励企业通过建立技能大师工作室和技师研修制度、自办培训机构或与职业院校联合办学等方式，结合企业技术创新、技术改造和技术项目引进，大力培养高技能人才。鼓励有条件的企业积极承担社会培训任务，为参加职业培训人员提供实训实习条件。</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六）积极推进创业培训。依托有资质的教育培训机构，针对创业者特点和创业不同阶段的需求，开展多种形式的创业培训。要扩大创业培训范围，鼓励有创业要求和培训愿望、具备一定创业条件的城乡各类劳动者以及处于创业初期的创业者参加创业培训。要通过规范培训标准、提高师资水平、完善培训模式，不断提高创业培训质量；要结合当地产业发展和创业项目，根据不同培训对象特点，重点开展创业意识教育、创业项目指导和企业经营管理培训，通过案例剖析、考察观摩、企业家现身说法等方式，提高受培训者的创业能力。要强化创业培训与小额担保贷款、税费减免等扶持政策及创业咨询、创业孵化等服务手段的衔接，健全政策扶持、创业培训、创业服务相结合的工作体系，提高创业成功率。</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b/>
                      <w:bCs/>
                      <w:kern w:val="0"/>
                      <w:sz w:val="24"/>
                      <w:szCs w:val="24"/>
                    </w:rPr>
                    <w:t>三、切实提高职业培训质量</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七）大力推行就业导向的培训模式。根据就业需要和职业技能标准要求，深化职业培训模式改革，大力推行与就业紧密联系的培训模式，增强培训针对性和有效性。在强化职业技能训练的同时，要加强职业道德、法律意识等职业素质的培养，提高劳动者的技能水平和综合职业素养。全面实行校企合作，改革培训课程，创新培训方法，引导职业院校、企业和职业培训机构大力开展订单式培训、定向培训、定岗培训。面向有就业要求和培训愿望城乡劳动者的初级技能培训和岗前培训，应根据就业市场需求和企业岗位实际要求，开展订单式培训或定岗培训；面向城乡未继续升学的应届初高中毕业生等新成长劳动力的劳动预备制培训，应结合产业发展对后备技能人才需求，开展定向培训。</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八）加强职业技能考核评价和竞赛选拔。各地要切实加强职业技能鉴定工作，按统一要求建立健全技能人才培养评价标准，充分发挥职业技能鉴定在职业培训中的引导作用。各级职业技能鉴定机构要按照国家职业技能鉴定有关规定和要求，为劳动者提供及时、方便、快捷的职业技能鉴定服务。完善企业技能人才评价制度，指导企业结合国家职业标准和企业岗位要求，开展企业内职业技能评价工作。在职业院校中积极推行学历证书与职业</w:t>
                  </w:r>
                  <w:r w:rsidRPr="00E95DE4">
                    <w:rPr>
                      <w:rFonts w:ascii="宋体" w:eastAsia="宋体" w:hAnsi="宋体" w:cs="宋体"/>
                      <w:kern w:val="0"/>
                      <w:sz w:val="24"/>
                      <w:szCs w:val="24"/>
                    </w:rPr>
                    <w:lastRenderedPageBreak/>
                    <w:t>资格证书“双证书”制度。充分发挥技能竞赛在技能人才培养中的积极作用，选择技术含量高、通用性广、从业人员多、社会影响大的职业广泛开展多层次的职业技能竞赛，为发现和选拔高技能人才创造条件。</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九）强化职业培训基础能力建设。依托现有各类职业培训机构及培训设施，加大职业培训资源整合力度，加强职业培训体系建设，提高职业培训机构的培训能力。在产业集中度高的区域性中心城市，提升改造一批以高级技能培训为主的职业技能实训基地；在地级城市，提升改造一批以中、高级技能培训为主的职业技能实训基地；在经济较发达的县市，提升改造一批以初、中级技能培训为主的职业技能实训基地，面向社会提供示范性技能训练和鉴定服务。完善职业分类制度，加快国家职业技能标准和鉴定题库的开发与更新，为职业培训和鉴定提供技术支持。加强职业培训师资队伍建设，依托有条件的大中型企业和职业院校，开展师资培训，加快培养既能讲授专业知识又能传授操作技能的教师队伍。实行专兼职教师制度，建立和完善职业培训教师在职培训和到企业实践制度。根据职业培训规律和特点，加强职业培训特别是高技能人才培训的课程体系、培训计划大纲以及培训教材的开发。</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十）切实加强就业服务工作。加强覆盖城乡的公共就业服务体系建设，为各类劳动者提供完善的职业培训政策信息咨询、职业指导和职业介绍等服务，定期公布人力资源市场供求信息，引导各类劳动者根据市场需求，选择适合自身需要的职业培训。基层劳动就业和社会保障公共服务平台要了解、掌握培训需求，收集、发布培训信息，积极动员组织辖区内各类劳动者参加职业培训和职业技能鉴定，及时提供就业信息和就业指导，协助落实相关就业扶持政策，促进其实现就业。</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十一）鼓励社会力量开展职业培训工作。各地要根据国家有关法律法规规定，明确民办职业培训机构的师资、设备、场地等基本条件，鼓励和引导社会力量开展职业培训，在师资培养、技能鉴定、就业信息服务、政府购买培训成果等方面与其他职业培训机构同等对待。同时，要依法加强对各类民办职业培训机构招生、收费、培训等环节的指导与监管，进一步提高民办职业培训机构办学质量，推动民办职业培训健康发展。</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十二）完善政府购买培训成果机制。各地要建立培训项目管理制度，完善政府购买培训成果机制，按照“条件公开、自愿申请、择优认定、社会公示”的原则，制定承担政府补贴培训任务的培训机构的基本条件、认定程序和管理办法，组织专家进行严格评审，对符合条件的向社会公示。要严格执行开班申请、过程检查、结业审核三项制度。鼓励地方探索第三方监督机制，委托有资质的社会中介组织对培训机构的培训质量及资金使用情况进行评估。</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b/>
                      <w:bCs/>
                      <w:kern w:val="0"/>
                      <w:sz w:val="24"/>
                      <w:szCs w:val="24"/>
                    </w:rPr>
                    <w:t>四、加大职业培训资金支持力度</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十三）完善职业培训补贴政策。城乡有就业要求和培训愿望的劳动者参加就业技能培训或创业培训，培训合格并通过技能鉴定取得初级以上职业资格证书（未颁布国家职业技能标准的职业应取得专项职业能力证书或培训合格证书），根据其获得职业资格证书或就业情况，按规定给予培训费补贴；企业新录用的符合职业培训补贴条件的劳动者，由企业依托所属培训机构或政府认定培训机构开展岗前培训的，按规定给予企业一定的培训费补贴。对通过初次职业技能鉴定并取得职业资格证书或专项职业能力证书的，按规定给予一次性职业技能鉴定补贴。对城乡未继续升学的应届初高中毕业生参加劳动预备制培训，按规定给予培训费补贴的同时，对其中农村学员和城市家庭经济困难学员给予一定生活费补</w:t>
                  </w:r>
                  <w:r w:rsidRPr="00E95DE4">
                    <w:rPr>
                      <w:rFonts w:ascii="宋体" w:eastAsia="宋体" w:hAnsi="宋体" w:cs="宋体"/>
                      <w:kern w:val="0"/>
                      <w:sz w:val="24"/>
                      <w:szCs w:val="24"/>
                    </w:rPr>
                    <w:lastRenderedPageBreak/>
                    <w:t>贴。</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十四）加大职业培训资金投入。各级政府对用于职业培训的各项补贴资金要加大整合力度，具备条件的地区，统一纳入就业专项资金，统筹使用，提高效益。各级财政要加大投入，调整就业专项资金支出结构，逐步提高职业培训支出比重。有条件的地区要安排经费，对职业培训教材开发、师资培训、职业技能竞赛、评选表彰等基础工作给予支持。由失业保险基金支付的各项培训补贴按相关规定执行。</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十五）落实企业职工教育经费。企业要按规定足额提取并合理使用企业职工教育经费，职工教育经费的60%以上应用于一线职工的教育和培训，企业职工在岗技能提升培训和高技能人才培训所需费用从职工教育经费列支。企业应将职工教育经费的提取与使用情况列为厂务公开的内容，定期或不定期进行公开，接受职工代表的质询和全体职工的监督。对自身没有能力开展职工培训，以及未开展高技能人才培训的企业，县级以上地方人民政府可依法对其职工教育经费实行统筹，人力资源社会保障部门会同有关部门统一组织培训服务。</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十六）加强职业培训资金监管。各地人力资源社会保障部门要会同财政部门加强对职业培训补贴资金的管理，明确资金用途、申领拨付程序和监管措施。2012年底前，各省（区、市）地级以上城市要依托公共就业服务信息系统建立统一的职业培训信息管理平台，对承担培训任务的培训机构进行动态管理，对参训人员实行实名制管理，不断提高地区之间信息共享程度。要根据当地产业发展规划、就业状况以及企业用人需要，合理确定并向社会公布政府补贴培训的职业（工种），每人每年只能享受一次职业培训补贴。要按照同一地区、同一工种补贴标准统一的原则，根据难易程度、时间长短和培训成本，以职业资格培训期限为基础，科学合理地确定培训补贴标准。根据培训对象特点和培训组织形式，在现有补贴培训机构方式的基础上，积极推进直补个人、直补企业等职业培训补贴方式，有条件的地区可以探索发放培训券（卡）的方式。要采取切实措施，对补贴对象审核、资金拨付等重点环节实行公开透明的办法，定期向全社会公开资金使用情况，审计部门依法加强对职业培训补贴资金的审计，防止骗取、挪用、以权谋私等问题的发生，确保资金安全，审计结果依法向社会公告。监察部门对重大违纪违规问题的责任人进行责任追究，涉及违法的移交司法机关处理。</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b/>
                      <w:bCs/>
                      <w:kern w:val="0"/>
                      <w:sz w:val="24"/>
                      <w:szCs w:val="24"/>
                    </w:rPr>
                    <w:t>五、加强组织领导</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十七）完善工作机制。地方各级人民政府、各有关部门要进一步提高对职业培训工作重要性的认识，进一步增强责任感和紧迫感，从全局和战略的高度，切实加强职业培训工作。要把职业培训工作作为促进就业工作的一项重要内容，列入重要议事日程，定期研究解决工作中存在的问题。要建立在政府统一领导下，人力资源社会保障部门统筹协调，发展改革、教育、科技、财政、住房城乡建设、农业等部门各司其职、密切配合，工会、共青团、妇联等人民团体广泛参与的工作机制，共同推动职业培训工作健康协调可持续发展。</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十八）科学制定培训规划。各地要根据促进就业和稳定就业的要求，在综合考虑当地劳动者职业培训实际需求、社会培训资源和能力的基础上，制定中长期职业培训规划和年度实施计划，并纳入本地区经济社会和人才发展总体规划。各地人力资源社会保障部门要结合本地区产业结构调整和发展状况、企业用工情况，对劳动力资源供求和培训需求信息等进行统计分析，并定期向社会发布。充分发挥行业主管部门和行业组织在职业培训工作中的作用，做好本行业技能人才需求预测，指导本行业企业完善职工培训制度，落实职业</w:t>
                  </w:r>
                  <w:r w:rsidRPr="00E95DE4">
                    <w:rPr>
                      <w:rFonts w:ascii="宋体" w:eastAsia="宋体" w:hAnsi="宋体" w:cs="宋体"/>
                      <w:kern w:val="0"/>
                      <w:sz w:val="24"/>
                      <w:szCs w:val="24"/>
                    </w:rPr>
                    <w:lastRenderedPageBreak/>
                    <w:t>培训政策措施。</w:t>
                  </w:r>
                </w:p>
                <w:p w:rsidR="00E95DE4" w:rsidRPr="00E95DE4" w:rsidRDefault="00E95DE4" w:rsidP="00E95DE4">
                  <w:pPr>
                    <w:widowControl/>
                    <w:spacing w:after="225"/>
                    <w:ind w:left="45" w:right="45" w:firstLine="450"/>
                    <w:jc w:val="left"/>
                    <w:rPr>
                      <w:rFonts w:ascii="宋体" w:eastAsia="宋体" w:hAnsi="宋体" w:cs="宋体"/>
                      <w:kern w:val="0"/>
                      <w:sz w:val="24"/>
                      <w:szCs w:val="24"/>
                    </w:rPr>
                  </w:pPr>
                  <w:r w:rsidRPr="00E95DE4">
                    <w:rPr>
                      <w:rFonts w:ascii="宋体" w:eastAsia="宋体" w:hAnsi="宋体" w:cs="宋体"/>
                      <w:kern w:val="0"/>
                      <w:sz w:val="24"/>
                      <w:szCs w:val="24"/>
                    </w:rPr>
                    <w:t>（十九）加大宣传表彰力度。进一步完善高技能人才评选表彰制度，并对在职业培训工作中作出突出贡献的机构和个人给予表彰。充分运用新闻媒体，广泛开展主题宣传活动，大力宣传各级党委、政府关于加强职业培训工作的方针政策，宣传技能成才和成功创业的典型事迹，宣传优秀职业院校和职业培训机构在职业培训方面的特色做法和显著成效，营造尊重劳动、崇尚技能、鼓励创造的良好氛围。</w:t>
                  </w:r>
                </w:p>
                <w:p w:rsidR="00E95DE4" w:rsidRPr="00E95DE4" w:rsidRDefault="00E95DE4" w:rsidP="00E95DE4">
                  <w:pPr>
                    <w:widowControl/>
                    <w:spacing w:after="225"/>
                    <w:ind w:left="45" w:right="45" w:firstLine="450"/>
                    <w:jc w:val="right"/>
                    <w:rPr>
                      <w:rFonts w:ascii="宋体" w:eastAsia="宋体" w:hAnsi="宋体" w:cs="宋体"/>
                      <w:kern w:val="0"/>
                      <w:sz w:val="24"/>
                      <w:szCs w:val="24"/>
                    </w:rPr>
                  </w:pPr>
                  <w:r w:rsidRPr="00E95DE4">
                    <w:rPr>
                      <w:rFonts w:ascii="宋体" w:eastAsia="宋体" w:hAnsi="宋体" w:cs="宋体"/>
                      <w:kern w:val="0"/>
                      <w:sz w:val="24"/>
                      <w:szCs w:val="24"/>
                    </w:rPr>
                    <w:t xml:space="preserve">国务院        </w:t>
                  </w:r>
                </w:p>
                <w:p w:rsidR="00E95DE4" w:rsidRPr="00E95DE4" w:rsidRDefault="00E95DE4" w:rsidP="00E95DE4">
                  <w:pPr>
                    <w:widowControl/>
                    <w:spacing w:after="225"/>
                    <w:ind w:left="45" w:right="45" w:firstLine="450"/>
                    <w:jc w:val="right"/>
                    <w:rPr>
                      <w:rFonts w:ascii="宋体" w:eastAsia="宋体" w:hAnsi="宋体" w:cs="宋体"/>
                      <w:kern w:val="0"/>
                      <w:sz w:val="24"/>
                      <w:szCs w:val="24"/>
                    </w:rPr>
                  </w:pPr>
                  <w:r w:rsidRPr="00E95DE4">
                    <w:rPr>
                      <w:rFonts w:ascii="宋体" w:eastAsia="宋体" w:hAnsi="宋体" w:cs="宋体"/>
                      <w:kern w:val="0"/>
                      <w:sz w:val="24"/>
                      <w:szCs w:val="24"/>
                    </w:rPr>
                    <w:t>二○一○年十月二十日</w:t>
                  </w:r>
                </w:p>
              </w:tc>
            </w:tr>
          </w:tbl>
          <w:p w:rsidR="00E95DE4" w:rsidRPr="00E95DE4" w:rsidRDefault="00E95DE4" w:rsidP="00E95DE4">
            <w:pPr>
              <w:widowControl/>
              <w:spacing w:before="75"/>
              <w:jc w:val="left"/>
              <w:rPr>
                <w:rFonts w:ascii="宋体" w:eastAsia="宋体" w:hAnsi="宋体" w:cs="宋体"/>
                <w:kern w:val="0"/>
                <w:sz w:val="24"/>
                <w:szCs w:val="24"/>
              </w:rPr>
            </w:pPr>
          </w:p>
        </w:tc>
      </w:tr>
    </w:tbl>
    <w:p w:rsidR="0055671E" w:rsidRPr="00E95DE4" w:rsidRDefault="0055671E" w:rsidP="00E95DE4">
      <w:pPr>
        <w:ind w:leftChars="-337" w:hangingChars="337" w:hanging="708"/>
      </w:pPr>
    </w:p>
    <w:sectPr w:rsidR="0055671E" w:rsidRPr="00E95DE4" w:rsidSect="00E95DE4">
      <w:pgSz w:w="11906" w:h="16838"/>
      <w:pgMar w:top="1440" w:right="1800" w:bottom="1440" w:left="70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93" w:rsidRDefault="008A7993" w:rsidP="002E2006">
      <w:r>
        <w:separator/>
      </w:r>
    </w:p>
  </w:endnote>
  <w:endnote w:type="continuationSeparator" w:id="0">
    <w:p w:rsidR="008A7993" w:rsidRDefault="008A7993" w:rsidP="002E20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93" w:rsidRDefault="008A7993" w:rsidP="002E2006">
      <w:r>
        <w:separator/>
      </w:r>
    </w:p>
  </w:footnote>
  <w:footnote w:type="continuationSeparator" w:id="0">
    <w:p w:rsidR="008A7993" w:rsidRDefault="008A7993" w:rsidP="002E20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6F8C"/>
    <w:rsid w:val="002E2006"/>
    <w:rsid w:val="00496F8C"/>
    <w:rsid w:val="0055671E"/>
    <w:rsid w:val="008A7993"/>
    <w:rsid w:val="009F4990"/>
    <w:rsid w:val="00E95DE4"/>
    <w:rsid w:val="00EF4C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DE4"/>
    <w:rPr>
      <w:color w:val="0000FF"/>
      <w:u w:val="single"/>
    </w:rPr>
  </w:style>
  <w:style w:type="paragraph" w:styleId="a4">
    <w:name w:val="Normal (Web)"/>
    <w:basedOn w:val="a"/>
    <w:uiPriority w:val="99"/>
    <w:unhideWhenUsed/>
    <w:rsid w:val="00E95DE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95DE4"/>
    <w:rPr>
      <w:b/>
      <w:bCs/>
    </w:rPr>
  </w:style>
  <w:style w:type="paragraph" w:styleId="a6">
    <w:name w:val="header"/>
    <w:basedOn w:val="a"/>
    <w:link w:val="Char"/>
    <w:uiPriority w:val="99"/>
    <w:semiHidden/>
    <w:unhideWhenUsed/>
    <w:rsid w:val="002E20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E2006"/>
    <w:rPr>
      <w:sz w:val="18"/>
      <w:szCs w:val="18"/>
    </w:rPr>
  </w:style>
  <w:style w:type="paragraph" w:styleId="a7">
    <w:name w:val="footer"/>
    <w:basedOn w:val="a"/>
    <w:link w:val="Char0"/>
    <w:uiPriority w:val="99"/>
    <w:semiHidden/>
    <w:unhideWhenUsed/>
    <w:rsid w:val="002E200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E20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DE4"/>
    <w:rPr>
      <w:color w:val="0000FF"/>
      <w:u w:val="single"/>
    </w:rPr>
  </w:style>
  <w:style w:type="paragraph" w:styleId="a4">
    <w:name w:val="Normal (Web)"/>
    <w:basedOn w:val="a"/>
    <w:uiPriority w:val="99"/>
    <w:unhideWhenUsed/>
    <w:rsid w:val="00E95DE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95DE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853</Words>
  <Characters>4863</Characters>
  <Application>Microsoft Office Word</Application>
  <DocSecurity>0</DocSecurity>
  <Lines>40</Lines>
  <Paragraphs>11</Paragraphs>
  <ScaleCrop>false</ScaleCrop>
  <Company>www.boss365.cn</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Yu</dc:creator>
  <cp:keywords/>
  <dc:description/>
  <cp:lastModifiedBy>Administrator</cp:lastModifiedBy>
  <cp:revision>4</cp:revision>
  <dcterms:created xsi:type="dcterms:W3CDTF">2010-11-09T03:20:00Z</dcterms:created>
  <dcterms:modified xsi:type="dcterms:W3CDTF">2015-03-16T02:45:00Z</dcterms:modified>
</cp:coreProperties>
</file>